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2024-10-11</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can</w:t>
      </w:r>
      <w:r>
        <w:t xml:space="preserve"> </w:t>
      </w:r>
      <w:r>
        <w:t xml:space="preserve">be</w:t>
      </w:r>
      <w:r>
        <w:t xml:space="preserve"> </w:t>
      </w:r>
      <w:r>
        <w:t xml:space="preserve">limited</w:t>
      </w:r>
      <w:r>
        <w:t xml:space="preserve"> </w:t>
      </w:r>
      <w:r>
        <w:t xml:space="preserve">by</w:t>
      </w:r>
      <w:r>
        <w:t xml:space="preserve"> </w:t>
      </w:r>
      <w:r>
        <w:t xml:space="preserve">too</w:t>
      </w:r>
      <w:r>
        <w:t xml:space="preserve"> </w:t>
      </w:r>
      <w:r>
        <w:t xml:space="preserve">coarse</w:t>
      </w:r>
      <w:r>
        <w:t xml:space="preserve"> </w:t>
      </w:r>
      <w:r>
        <w:t xml:space="preserve">spatial</w:t>
      </w:r>
      <w:r>
        <w:t xml:space="preserve"> </w:t>
      </w:r>
      <w:r>
        <w:t xml:space="preserve">and/or</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similar</w:t>
      </w:r>
      <w:r>
        <w:t xml:space="preserve"> </w:t>
      </w:r>
      <w:r>
        <w:t xml:space="preserve">to</w:t>
      </w:r>
      <w:r>
        <w:t xml:space="preserve"> </w:t>
      </w:r>
      <w:r>
        <w:t xml:space="preserve">that</w:t>
      </w:r>
      <w:r>
        <w:t xml:space="preserve"> </w:t>
      </w:r>
      <w:r>
        <w:t xml:space="preserve">onboard</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at</w:t>
      </w:r>
      <w:r>
        <w:t xml:space="preserve"> </w:t>
      </w:r>
      <w:r>
        <w:t xml:space="preserve">low</w:t>
      </w:r>
      <w:r>
        <w:t xml:space="preserve"> </w:t>
      </w:r>
      <w:r>
        <w:t xml:space="preserve">tide</w:t>
      </w:r>
      <w:r>
        <w:t xml:space="preserve"> </w:t>
      </w:r>
      <w:r>
        <w:t xml:space="preserve">(i.e. during</w:t>
      </w:r>
      <w:r>
        <w:t xml:space="preserve"> </w:t>
      </w:r>
      <w:r>
        <w:t xml:space="preserve">a</w:t>
      </w:r>
      <w:r>
        <w:t xml:space="preserve"> </w:t>
      </w:r>
      <w:r>
        <w:t xml:space="preserve">period</w:t>
      </w:r>
      <w:r>
        <w:t xml:space="preserve"> </w:t>
      </w:r>
      <w:r>
        <w:t xml:space="preserve">of</w:t>
      </w:r>
      <w:r>
        <w:t xml:space="preserve"> </w:t>
      </w:r>
      <w:r>
        <w:t xml:space="preserve">emersion)</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providing</w:t>
      </w:r>
      <w:r>
        <w:t xml:space="preserve"> </w:t>
      </w:r>
      <w:r>
        <w:t xml:space="preserve">multispectral</w:t>
      </w:r>
      <w:r>
        <w:t xml:space="preserve"> </w:t>
      </w:r>
      <w:r>
        <w:t xml:space="preserve">reflectance</w:t>
      </w:r>
      <w:r>
        <w:t xml:space="preserve"> </w:t>
      </w:r>
      <w:r>
        <w:t xml:space="preserve">observation</w:t>
      </w:r>
      <w:r>
        <w:t xml:space="preserve"> </w:t>
      </w:r>
      <w:r>
        <w:t xml:space="preserve">at</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(respectively</w:t>
      </w:r>
      <w:r>
        <w:t xml:space="preserve"> </w:t>
      </w:r>
      <w:r>
        <w:t xml:space="preserve">at</w:t>
      </w:r>
      <w:r>
        <w:t xml:space="preserve"> </w:t>
      </w:r>
      <w:r>
        <w:t xml:space="preserve">8</w:t>
      </w:r>
      <w:r>
        <w:t xml:space="preserve"> </w:t>
      </w:r>
      <w:r>
        <w:t xml:space="preserve">mm</w:t>
      </w:r>
      <w:r>
        <w:t xml:space="preserve"> </w:t>
      </w:r>
      <w:r>
        <w:t xml:space="preserve">and</w:t>
      </w:r>
      <w:r>
        <w:t xml:space="preserve"> </w:t>
      </w:r>
      <w:r>
        <w:t xml:space="preserve">80</w:t>
      </w:r>
      <w:r>
        <w:t xml:space="preserve"> </w:t>
      </w:r>
      <w:r>
        <w:t xml:space="preserve">mm).</w:t>
      </w:r>
      <w:r>
        <w:t xml:space="preserve"> </w:t>
      </w:r>
      <w:r>
        <w:t xml:space="preserve">Taking</w:t>
      </w:r>
      <w:r>
        <w:t xml:space="preserve"> </w:t>
      </w:r>
      <w:r>
        <w:t xml:space="preserve">advantage</w:t>
      </w:r>
      <w:r>
        <w:t xml:space="preserve"> </w:t>
      </w:r>
      <w:r>
        <w:t xml:space="preserve">of</w:t>
      </w:r>
      <w:r>
        <w:t xml:space="preserve"> </w:t>
      </w:r>
      <w:r>
        <w:t xml:space="preserve">their</w:t>
      </w:r>
      <w:r>
        <w:t xml:space="preserve"> </w:t>
      </w:r>
      <w:r>
        <w:t xml:space="preserve">extremly</w:t>
      </w:r>
      <w:r>
        <w:t xml:space="preserve"> </w:t>
      </w:r>
      <w:r>
        <w:t xml:space="preserve">high</w:t>
      </w:r>
      <w:r>
        <w:t xml:space="preserve"> </w:t>
      </w:r>
      <w:r>
        <w:t xml:space="preserve">spatial</w:t>
      </w:r>
      <w:r>
        <w:t xml:space="preserve"> </w:t>
      </w:r>
      <w:r>
        <w:t xml:space="preserve">resolution;</w:t>
      </w:r>
      <w:r>
        <w:t xml:space="preserve"> </w:t>
      </w:r>
      <w:r>
        <w:t xml:space="preserve">the</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and</w:t>
      </w:r>
      <w:r>
        <w:t xml:space="preserve"> </w:t>
      </w:r>
      <w:r>
        <w:t xml:space="preserve">validated</w:t>
      </w:r>
      <w:r>
        <w:t xml:space="preserve"> </w:t>
      </w:r>
      <w:r>
        <w:t xml:space="preserve">using</w:t>
      </w:r>
      <w:r>
        <w:t xml:space="preserve"> </w:t>
      </w:r>
      <w:r>
        <w:t xml:space="preserve">concomitant</w:t>
      </w:r>
      <w:r>
        <w:t xml:space="preserve"> </w:t>
      </w:r>
      <w:r>
        <w:t xml:space="preserve">field</w:t>
      </w:r>
      <w:r>
        <w:t xml:space="preserve"> </w:t>
      </w:r>
      <w:r>
        <w:t xml:space="preserve">measurements.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In</w:t>
      </w:r>
      <w:r>
        <w:t xml:space="preserve"> </w:t>
      </w:r>
      <w:r>
        <w:t xml:space="preserve">particular</w:t>
      </w:r>
      <w:r>
        <w:t xml:space="preserve"> </w:t>
      </w:r>
      <w:r>
        <w:t xml:space="preserve">,</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The</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w:t>
      </w:r>
      <w:r>
        <w:t xml:space="preserve"> </w:t>
      </w:r>
      <w:r>
        <w:t xml:space="preserve">the</w:t>
      </w:r>
      <w:r>
        <w:t xml:space="preserve"> </w:t>
      </w:r>
      <w:r>
        <w:t xml:space="preserve">drone</w:t>
      </w:r>
      <w:r>
        <w:t xml:space="preserve"> </w:t>
      </w:r>
      <w:r>
        <w:t xml:space="preserve">data</w:t>
      </w:r>
      <w:r>
        <w:t xml:space="preserve"> </w:t>
      </w:r>
      <w:r>
        <w:t xml:space="preserve">made</w:t>
      </w:r>
      <w:r>
        <w:t xml:space="preserve"> </w:t>
      </w:r>
      <w:r>
        <w:t xml:space="preserve">ot</w:t>
      </w:r>
      <w:r>
        <w:t xml:space="preserve"> </w:t>
      </w:r>
      <w:r>
        <w:t xml:space="preserve">possoble</w:t>
      </w:r>
      <w:r>
        <w:t xml:space="preserve"> </w:t>
      </w:r>
      <w:r>
        <w:t xml:space="preserve">to</w:t>
      </w:r>
      <w:r>
        <w:t xml:space="preserve"> </w:t>
      </w:r>
      <w:r>
        <w:t xml:space="preserve">assess</w:t>
      </w:r>
      <w:r>
        <w:t xml:space="preserve"> </w:t>
      </w:r>
      <w:r>
        <w:t xml:space="preserve">the</w:t>
      </w:r>
      <w:r>
        <w:t xml:space="preserve"> </w:t>
      </w:r>
      <w:r>
        <w:t xml:space="preserve">influence</w:t>
      </w:r>
      <w:r>
        <w:t xml:space="preserve"> </w:t>
      </w:r>
      <w:r>
        <w:t xml:space="preserve">of</w:t>
      </w:r>
      <w:r>
        <w:t xml:space="preserve"> </w:t>
      </w:r>
      <w:r>
        <w:t xml:space="preserve">spatial</w:t>
      </w:r>
      <w:r>
        <w:t xml:space="preserve"> </w:t>
      </w:r>
      <w:r>
        <w:t xml:space="preserve">resolution</w:t>
      </w:r>
      <w:r>
        <w:t xml:space="preserve"> </w:t>
      </w:r>
      <w:r>
        <w:t xml:space="preserve">on</w:t>
      </w:r>
      <w:r>
        <w:t xml:space="preserve"> </w:t>
      </w:r>
      <w:r>
        <w:t xml:space="preserve">the</w:t>
      </w:r>
      <w:r>
        <w:t xml:space="preserve"> </w:t>
      </w:r>
      <w:r>
        <w:t xml:space="preserve">classification</w:t>
      </w:r>
      <w:r>
        <w:t xml:space="preserve"> </w:t>
      </w:r>
      <w:r>
        <w:t xml:space="preserve">outputs,</w:t>
      </w:r>
      <w:r>
        <w:t xml:space="preserve"> </w:t>
      </w:r>
      <w:r>
        <w:t xml:space="preserve">showing</w:t>
      </w:r>
      <w:r>
        <w:t xml:space="preserve"> </w:t>
      </w:r>
      <w:r>
        <w:t xml:space="preserve">a</w:t>
      </w:r>
      <w:r>
        <w:t xml:space="preserve"> </w:t>
      </w:r>
      <w:r>
        <w:t xml:space="preserve">limited</w:t>
      </w:r>
      <w:r>
        <w:t xml:space="preserve"> </w:t>
      </w:r>
      <w:r>
        <w:t xml:space="preserve">loss</w:t>
      </w:r>
      <w:r>
        <w:t xml:space="preserve"> </w:t>
      </w:r>
      <w:r>
        <w:t xml:space="preserve">in</w:t>
      </w:r>
      <w:r>
        <w:t xml:space="preserve"> </w:t>
      </w:r>
      <w:r>
        <w:t xml:space="preserve">seagrass</w:t>
      </w:r>
      <w:r>
        <w:t xml:space="preserve"> </w:t>
      </w:r>
      <w:r>
        <w:t xml:space="preserve">detection</w:t>
      </w:r>
      <w:r>
        <w:t xml:space="preserve"> </w:t>
      </w:r>
      <w:r>
        <w:t xml:space="preserve">up</w:t>
      </w:r>
      <w:r>
        <w:t xml:space="preserve"> </w:t>
      </w:r>
      <w:r>
        <w:t xml:space="preserve">to</w:t>
      </w:r>
      <w:r>
        <w:t xml:space="preserve"> </w:t>
      </w:r>
      <w:r>
        <w:t xml:space="preserve">about</w:t>
      </w:r>
      <w:r>
        <w:t xml:space="preserve"> </w:t>
      </w:r>
      <w:r>
        <w:t xml:space="preserve">10m.</w:t>
      </w:r>
      <w:r>
        <w:t xml:space="preserve"> </w:t>
      </w:r>
      <w:r>
        <w:t xml:space="preserve">Altogether,</w:t>
      </w:r>
      <w:r>
        <w:t xml:space="preserve"> </w:t>
      </w:r>
      <w:r>
        <w:t xml:space="preserve">out</w:t>
      </w:r>
      <w:r>
        <w:t xml:space="preserve"> </w:t>
      </w:r>
      <w:r>
        <w:t xml:space="preserve">findings</w:t>
      </w:r>
      <w:r>
        <w:t xml:space="preserve"> </w:t>
      </w:r>
      <w:r>
        <w:t xml:space="preserve">suggest</w:t>
      </w:r>
      <w:r>
        <w:t xml:space="preserve"> </w:t>
      </w:r>
      <w:r>
        <w:t xml:space="preserve">that</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offers</w:t>
      </w:r>
      <w:r>
        <w:t xml:space="preserve"> </w:t>
      </w:r>
      <w:r>
        <w:t xml:space="preserve">a</w:t>
      </w:r>
      <w:r>
        <w:t xml:space="preserve"> </w:t>
      </w:r>
      <w:r>
        <w:t xml:space="preserve">relevant</w:t>
      </w:r>
      <w:r>
        <w:t xml:space="preserve"> </w:t>
      </w:r>
      <w:r>
        <w:t xml:space="preserve">trade-off</w:t>
      </w:r>
      <w:r>
        <w:t xml:space="preserve"> </w:t>
      </w:r>
      <w:r>
        <w:t xml:space="preserve">between</w:t>
      </w:r>
      <w:r>
        <w:t xml:space="preserve"> </w:t>
      </w:r>
      <w:r>
        <w:t xml:space="preserve">its</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therms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limited number of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The classification maps obtained at a very high spatial resolution with the drone were spatially degraded to satellite resolutions, making it possible to asses the effect of spatial resolution on classification accuracy; and provide insights for coastal habitat mapping using satellite remote sensing.</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
          <w:iCs/>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bcfc78b2a1a5f3f77b74416c7c26a59711ad7f6"/>
    <w:p>
      <w:pPr>
        <w:pStyle w:val="Heading2"/>
      </w:pPr>
      <w:r>
        <w:t xml:space="preserve">2.6 Influence of the spatial resolution on classification</w:t>
      </w:r>
    </w:p>
    <w:p>
      <w:pPr>
        <w:pStyle w:val="FirstParagraph"/>
      </w:pPr>
      <w:r>
        <w:t xml:space="preserve">To evaluate the influence of spatial resolution on the model’s output, we resampled the drone orthomosaics from their native resolution (8 cm for the high altitude flights) using the</w:t>
      </w:r>
      <w:r>
        <w:t xml:space="preserve"> </w:t>
      </w:r>
      <w:r>
        <w:t xml:space="preserve">“</w:t>
      </w:r>
      <w:r>
        <w:t xml:space="preserve">average</w:t>
      </w:r>
      <w:r>
        <w:t xml:space="preserve">”</w:t>
      </w:r>
      <w:r>
        <w:t xml:space="preserve"> </w:t>
      </w:r>
      <w:r>
        <w:t xml:space="preserve">method from the Terra package in R.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Gaussian family and identity link function to examine the relationship between pixel resolution, vegetation class, and their interaction on the response variable (the loss of vegetation area within a given class). The model formula was as follows:</w:t>
      </w:r>
    </w:p>
    <w:p>
      <w:pPr>
        <w:pStyle w:val="BodyText"/>
      </w:pPr>
      <w:bookmarkStart w:id="56" w:name="eq-gam"/>
      <m:oMathPara>
        <m:oMathParaPr>
          <m:jc m:val="center"/>
        </m:oMathParaPr>
        <m:oMath>
          <m:r>
            <m:t>V</m:t>
          </m:r>
          <m:r>
            <m:t>e</m:t>
          </m:r>
          <m:r>
            <m:t>g</m:t>
          </m:r>
          <m:r>
            <m:t>e</m:t>
          </m:r>
          <m:r>
            <m:t>t</m:t>
          </m:r>
          <m:r>
            <m:t>a</m:t>
          </m:r>
          <m:r>
            <m:t>t</m:t>
          </m:r>
          <m:r>
            <m:t>i</m:t>
          </m:r>
          <m:r>
            <m:t>o</m:t>
          </m:r>
          <m:r>
            <m:t>n</m:t>
          </m:r>
          <m:r>
            <m:t>L</m:t>
          </m:r>
          <m:r>
            <m:t>o</m:t>
          </m:r>
          <m:r>
            <m:t>s</m:t>
          </m:r>
          <m:r>
            <m:t>s</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ayout w:type="fixed"/>
        <w:tblLook w:firstRow="0" w:lastRow="0" w:firstColumn="0" w:lastColumn="0" w:noHBand="0" w:noVBand="0" w:val="0000"/>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
          <w:iCs/>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ayout w:type="fixed"/>
        <w:tblLook w:firstRow="0" w:lastRow="0" w:firstColumn="0" w:lastColumn="0" w:noHBand="0" w:noVBand="0" w:val="0000"/>
      </w:tblPr>
      <w:tblGrid>
        <w:gridCol w:w="7920"/>
      </w:tblGrid>
      <w:tr>
        <w:tc>
          <w:tcPr/>
          <w:bookmarkStart w:id="69" w:name="fig-GafLow"/>
          <w:p>
            <w:pPr>
              <w:pStyle w:val="Compact"/>
              <w:jc w:val="center"/>
            </w:pPr>
            <w:r>
              <w:drawing>
                <wp:inline>
                  <wp:extent cx="5334000" cy="2803823"/>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8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ayout w:type="fixed"/>
        <w:tblLook w:firstRow="0" w:lastRow="0" w:firstColumn="0" w:lastColumn="0" w:noHBand="0" w:noVBand="0" w:val="0000"/>
      </w:tblPr>
      <w:tblGrid>
        <w:gridCol w:w="7920"/>
      </w:tblGrid>
      <w:tr>
        <w:tc>
          <w:tcPr/>
          <w:bookmarkStart w:id="74" w:name="fig-GafHigh"/>
          <w:p>
            <w:pPr>
              <w:pStyle w:val="Compact"/>
              <w:jc w:val="center"/>
            </w:pPr>
            <w:r>
              <w:drawing>
                <wp:inline>
                  <wp:extent cx="5334000" cy="4532569"/>
                  <wp:effectExtent b="0" l="0" r="0" t="0"/>
                  <wp:docPr descr="" title="" id="72" name="Picture"/>
                  <a:graphic>
                    <a:graphicData uri="http://schemas.openxmlformats.org/drawingml/2006/picture">
                      <pic:pic>
                        <pic:nvPicPr>
                          <pic:cNvPr descr="./Figures/Low_res/Maps%20Pred/FigX-Gaf_High_Pred1.png" id="73" name="Picture"/>
                          <pic:cNvPicPr>
                            <a:picLocks noChangeArrowheads="1" noChangeAspect="1"/>
                          </pic:cNvPicPr>
                        </pic:nvPicPr>
                        <pic:blipFill>
                          <a:blip r:embed="rId71"/>
                          <a:stretch>
                            <a:fillRect/>
                          </a:stretch>
                        </pic:blipFill>
                        <pic:spPr bwMode="auto">
                          <a:xfrm>
                            <a:off x="0" y="0"/>
                            <a:ext cx="5334000" cy="45325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80" w:name="cell-fig-Boat"/>
    <w:tbl>
      <w:tblPr>
        <w:tblStyle w:val="Table"/>
        <w:tblW w:type="pct" w:w="5000"/>
        <w:tblLayout w:type="fixed"/>
        <w:tblLook w:firstRow="0" w:lastRow="0" w:firstColumn="0" w:lastColumn="0" w:noHBand="0" w:noVBand="0" w:val="0000"/>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ayout w:type="fixed"/>
        <w:tblLook w:firstRow="0" w:lastRow="0" w:firstColumn="0" w:lastColumn="0" w:noHBand="0" w:noVBand="0" w:val="0000"/>
      </w:tblPr>
      <w:tblGrid>
        <w:gridCol w:w="7920"/>
      </w:tblGrid>
      <w:tr>
        <w:tc>
          <w:tcPr/>
          <w:bookmarkStart w:id="84" w:name="fig-Dike"/>
          <w:p>
            <w:pPr>
              <w:pStyle w:val="Compact"/>
              <w:jc w:val="center"/>
            </w:pPr>
            <w:r>
              <w:drawing>
                <wp:inline>
                  <wp:extent cx="5334000" cy="4000500"/>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ayout w:type="fixed"/>
        <w:tblLook w:firstRow="0" w:lastRow="0" w:firstColumn="0" w:lastColumn="0" w:noHBand="0" w:noVBand="0" w:val="0000"/>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ayout w:type="fixed"/>
        <w:tblLook w:firstRow="0" w:lastRow="0" w:firstColumn="0" w:lastColumn="0" w:noHBand="0" w:noVBand="0" w:val="0000"/>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5e2ea51facab770385496ff7438fe9843c1b822"/>
    <w:p>
      <w:pPr>
        <w:pStyle w:val="Heading2"/>
      </w:pPr>
      <w:r>
        <w:t xml:space="preserve">3.5 Effect of spatial resolution on the classification</w:t>
      </w:r>
    </w:p>
    <w:p>
      <w:pPr>
        <w:pStyle w:val="FirstParagraph"/>
      </w:pPr>
      <w:hyperlink w:anchor="fig-pixelsize">
        <w:r>
          <w:rPr>
            <w:rStyle w:val="Hyperlink"/>
          </w:rPr>
          <w:t xml:space="preserve">Figure 11</w:t>
        </w:r>
      </w:hyperlink>
      <w:r>
        <w:t xml:space="preserve"> </w:t>
      </w:r>
      <w:r>
        <w:t xml:space="preserve">illustrates the relationship between predicted area loss for various vegetation types and map resolution. At a fine resolution of 1m, changes in the retrieved area for each vegetation type are minimal. Green algae shows the highest loss rate, with 1.2% area lost compared to the native resolution (80 mm). As the resolution coarsens to 10m, area loss becomes significant,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bookmarkStart w:id="103" w:name="cell-fig-pixelsize"/>
    <w:tbl>
      <w:tblPr>
        <w:tblStyle w:val="Table"/>
        <w:tblW w:type="pct" w:w="5000"/>
        <w:tblLayout w:type="fixed"/>
        <w:tblLook w:firstRow="0" w:lastRow="0" w:firstColumn="0" w:lastColumn="0" w:noHBand="0" w:noVBand="0" w:val="0000"/>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2"/>
        </w:tc>
      </w:tr>
    </w:tbl>
    <w:bookmarkEnd w:id="103"/>
    <w:p>
      <w:pPr>
        <w:pStyle w:val="BodyText"/>
      </w:pPr>
      <w:r>
        <w:t xml:space="preserve">The Generalized Linear Model (GLM) analysis showed a significant effect of pixel resolution on the mapped vegetation area, indicating a positive relationship between resolution and area loss (</w:t>
      </w:r>
      <m:oMath>
        <m:r>
          <m:t>β</m:t>
        </m:r>
        <m:r>
          <m:rPr>
            <m:sty m:val="p"/>
          </m:rPr>
          <m:t>=</m:t>
        </m:r>
        <m:r>
          <m:t>0.067</m:t>
        </m:r>
        <m:r>
          <m:rPr>
            <m:sty m:val="p"/>
          </m:rPr>
          <m:t>,</m:t>
        </m:r>
        <m:r>
          <m:t>p</m:t>
        </m:r>
        <m:r>
          <m:rPr>
            <m:sty m:val="p"/>
          </m:rPr>
          <m:t>&lt;</m:t>
        </m:r>
        <m:r>
          <m:t>0.001</m:t>
        </m:r>
      </m:oMath>
      <w:r>
        <w:t xml:space="preserve">). This suggests that as pixel resolution increases, the mapped area of each vegetation type decreases.</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ayout w:type="fixed"/>
        <w:tblLook w:firstRow="0" w:lastRow="0" w:firstColumn="0" w:lastColumn="0" w:noHBand="0" w:noVBand="0" w:val="0000"/>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80 mm pixels correctly classified, with the exception of Magnoliopsida that required a higher cover (&gt;90 %) to be accurately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ayout w:type="fixed"/>
        <w:tblLook w:firstRow="0" w:lastRow="0" w:firstColumn="0" w:lastColumn="0" w:noHBand="0" w:noVBand="0" w:val="0000"/>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ayout w:type="fixed"/>
        <w:tblLook w:firstRow="0" w:lastRow="0" w:firstColumn="0" w:lastColumn="0" w:noHBand="0" w:noVBand="0" w:val="0000"/>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emphasize the critical role of pixel resolution in accurately retrieving vegetation area from remote sensing data. As pixel size increases, a consistent decline in area retrieval is observed across all vegetation types, with more pronounced effects for certain types, such as green algae. This highlights the sensitivity of spatial resolution in detecting smaller or more fragmented vegetation features. Green algae, being particularly patchy across all study sites, shows the steepest decline in area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Additionally, high-resolution data requires more storage and can slow down real-time applications. For large-scale monitoring or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2024-10-11T09:19:43Z</dcterms:created>
  <dcterms:modified xsi:type="dcterms:W3CDTF">2024-10-11T09:19:43Z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(respectively at 8 mm and 80 mm). Taking advantage of their extremly high spatial resolution; the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ot possoble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